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E5C7" w14:textId="12C80B52" w:rsidR="004C26A0" w:rsidRPr="004C26A0" w:rsidRDefault="004C26A0" w:rsidP="004C26A0">
      <w:pPr>
        <w:spacing w:after="0" w:line="300" w:lineRule="auto"/>
        <w:rPr>
          <w:rFonts w:ascii="Verdana" w:hAnsi="Verdana"/>
          <w:b/>
          <w:caps/>
        </w:rPr>
      </w:pPr>
      <w:r w:rsidRPr="004C26A0">
        <w:rPr>
          <w:rFonts w:ascii="Verdana" w:hAnsi="Verdana"/>
          <w:b/>
          <w:caps/>
        </w:rPr>
        <w:drawing>
          <wp:anchor distT="0" distB="0" distL="114300" distR="114300" simplePos="0" relativeHeight="251658240" behindDoc="1" locked="0" layoutInCell="1" allowOverlap="1" wp14:anchorId="7FD2BA6D" wp14:editId="32FBF91B">
            <wp:simplePos x="0" y="0"/>
            <wp:positionH relativeFrom="column">
              <wp:posOffset>1417320</wp:posOffset>
            </wp:positionH>
            <wp:positionV relativeFrom="paragraph">
              <wp:posOffset>229</wp:posOffset>
            </wp:positionV>
            <wp:extent cx="2724008" cy="1263015"/>
            <wp:effectExtent l="0" t="0" r="635" b="0"/>
            <wp:wrapTight wrapText="bothSides">
              <wp:wrapPolygon edited="0">
                <wp:start x="0" y="0"/>
                <wp:lineTo x="0" y="21176"/>
                <wp:lineTo x="21454" y="21176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08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B2E925" w14:textId="77777777" w:rsidR="0077251A" w:rsidRDefault="0077251A" w:rsidP="00F27A63">
      <w:pPr>
        <w:spacing w:after="0" w:line="300" w:lineRule="auto"/>
        <w:rPr>
          <w:rFonts w:ascii="Verdana" w:hAnsi="Verdana"/>
          <w:b/>
          <w:caps/>
        </w:rPr>
      </w:pPr>
    </w:p>
    <w:p w14:paraId="470C6E53" w14:textId="77777777" w:rsidR="004C26A0" w:rsidRDefault="004C26A0" w:rsidP="00F27A63">
      <w:pPr>
        <w:spacing w:after="0" w:line="300" w:lineRule="auto"/>
        <w:rPr>
          <w:rFonts w:ascii="Verdana" w:hAnsi="Verdana"/>
          <w:b/>
          <w:caps/>
        </w:rPr>
      </w:pPr>
    </w:p>
    <w:p w14:paraId="39C9A09F" w14:textId="77777777" w:rsidR="004C26A0" w:rsidRDefault="004C26A0" w:rsidP="00F27A63">
      <w:pPr>
        <w:spacing w:after="0" w:line="300" w:lineRule="auto"/>
        <w:rPr>
          <w:rFonts w:ascii="Verdana" w:hAnsi="Verdana"/>
          <w:b/>
          <w:caps/>
        </w:rPr>
      </w:pPr>
    </w:p>
    <w:p w14:paraId="0370E02C" w14:textId="77777777" w:rsidR="004C26A0" w:rsidRDefault="004C26A0" w:rsidP="00F27A63">
      <w:pPr>
        <w:spacing w:after="0" w:line="300" w:lineRule="auto"/>
        <w:rPr>
          <w:rFonts w:ascii="Verdana" w:hAnsi="Verdana"/>
          <w:b/>
          <w:caps/>
        </w:rPr>
      </w:pPr>
    </w:p>
    <w:p w14:paraId="78DACD2C" w14:textId="77777777" w:rsidR="004C26A0" w:rsidRDefault="004C26A0" w:rsidP="00F27A63">
      <w:pPr>
        <w:spacing w:after="0" w:line="300" w:lineRule="auto"/>
        <w:rPr>
          <w:rFonts w:ascii="Verdana" w:hAnsi="Verdana"/>
          <w:b/>
          <w:caps/>
        </w:rPr>
      </w:pPr>
    </w:p>
    <w:p w14:paraId="49E32958" w14:textId="1C54B61A" w:rsidR="00F27A63" w:rsidRPr="00D179CB" w:rsidRDefault="00F27A63" w:rsidP="00F27A63">
      <w:pPr>
        <w:spacing w:after="0" w:line="300" w:lineRule="auto"/>
        <w:rPr>
          <w:rFonts w:ascii="Verdana" w:hAnsi="Verdana"/>
          <w:caps/>
          <w:color w:val="FF0000"/>
        </w:rPr>
      </w:pPr>
      <w:r w:rsidRPr="00D179CB">
        <w:rPr>
          <w:rFonts w:ascii="Verdana" w:hAnsi="Verdana"/>
          <w:b/>
          <w:caps/>
        </w:rPr>
        <w:t xml:space="preserve">Financial Management POLICY template </w:t>
      </w:r>
      <w:r w:rsidRPr="00D179CB">
        <w:rPr>
          <w:rFonts w:ascii="Verdana" w:hAnsi="Verdana"/>
          <w:caps/>
          <w:color w:val="FF0000"/>
        </w:rPr>
        <w:t xml:space="preserve">MAKING SURE EVERY </w:t>
      </w:r>
      <w:r>
        <w:rPr>
          <w:rFonts w:ascii="Verdana" w:hAnsi="Verdana"/>
          <w:caps/>
          <w:color w:val="FF0000"/>
        </w:rPr>
        <w:t>TRUSTEE</w:t>
      </w:r>
      <w:r w:rsidRPr="00D179CB">
        <w:rPr>
          <w:rFonts w:ascii="Verdana" w:hAnsi="Verdana"/>
          <w:caps/>
          <w:color w:val="FF0000"/>
        </w:rPr>
        <w:t xml:space="preserve"> HAS A COPY</w:t>
      </w:r>
    </w:p>
    <w:p w14:paraId="2AB5ECF0" w14:textId="77777777" w:rsidR="00F27A63" w:rsidRPr="00D179CB" w:rsidRDefault="00F27A63" w:rsidP="00F27A63">
      <w:pPr>
        <w:spacing w:after="0" w:line="300" w:lineRule="auto"/>
        <w:outlineLvl w:val="3"/>
        <w:rPr>
          <w:rFonts w:ascii="Verdana" w:eastAsia="Times New Roman" w:hAnsi="Verdana" w:cs="Times New Roman"/>
          <w:caps/>
          <w:lang w:eastAsia="en-IE"/>
        </w:rPr>
      </w:pPr>
    </w:p>
    <w:p w14:paraId="204F701B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Responsibilities</w:t>
      </w:r>
    </w:p>
    <w:p w14:paraId="228C8923" w14:textId="77777777" w:rsidR="00F27A63" w:rsidRPr="00D179CB" w:rsidRDefault="00F27A63" w:rsidP="00F27A63">
      <w:pPr>
        <w:pStyle w:val="ListParagraph"/>
        <w:numPr>
          <w:ilvl w:val="0"/>
          <w:numId w:val="5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We recognise that financial management is a collective responsibility of the </w:t>
      </w:r>
      <w:r>
        <w:rPr>
          <w:rFonts w:ascii="Verdana" w:hAnsi="Verdana"/>
          <w:color w:val="000000" w:themeColor="text1"/>
        </w:rPr>
        <w:t>trustee</w:t>
      </w:r>
      <w:r w:rsidRPr="00D179CB">
        <w:rPr>
          <w:rFonts w:ascii="Verdana" w:hAnsi="Verdana"/>
          <w:color w:val="000000" w:themeColor="text1"/>
        </w:rPr>
        <w:t>s</w:t>
      </w:r>
    </w:p>
    <w:p w14:paraId="0475C894" w14:textId="77777777" w:rsidR="00F27A63" w:rsidRPr="00D179CB" w:rsidRDefault="00F27A63" w:rsidP="00F27A63">
      <w:pPr>
        <w:pStyle w:val="ListParagraph"/>
        <w:numPr>
          <w:ilvl w:val="0"/>
          <w:numId w:val="5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We authorise </w:t>
      </w:r>
      <w:r>
        <w:rPr>
          <w:rFonts w:ascii="Verdana" w:hAnsi="Verdana"/>
          <w:color w:val="000000" w:themeColor="text1"/>
          <w:u w:val="single"/>
        </w:rPr>
        <w:t xml:space="preserve">                                    </w:t>
      </w:r>
      <w:r w:rsidRPr="00D179CB">
        <w:rPr>
          <w:rFonts w:ascii="Verdana" w:hAnsi="Verdana"/>
          <w:color w:val="000000" w:themeColor="text1"/>
        </w:rPr>
        <w:t xml:space="preserve">to undertake </w:t>
      </w:r>
      <w:r>
        <w:rPr>
          <w:rFonts w:ascii="Verdana" w:hAnsi="Verdana"/>
          <w:color w:val="000000" w:themeColor="text1"/>
          <w:u w:val="single"/>
        </w:rPr>
        <w:t xml:space="preserve">                          </w:t>
      </w:r>
      <w:r w:rsidRPr="00D179CB">
        <w:rPr>
          <w:rFonts w:ascii="Verdana" w:hAnsi="Verdana"/>
          <w:color w:val="000000" w:themeColor="text1"/>
        </w:rPr>
        <w:t>tasks</w:t>
      </w:r>
    </w:p>
    <w:p w14:paraId="359C8678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p w14:paraId="50DF85FB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Budgeting</w:t>
      </w:r>
    </w:p>
    <w:p w14:paraId="2A23C69A" w14:textId="77777777" w:rsidR="00F27A63" w:rsidRPr="00D179CB" w:rsidRDefault="00F27A63" w:rsidP="00F27A63">
      <w:pPr>
        <w:pStyle w:val="ListParagraph"/>
        <w:numPr>
          <w:ilvl w:val="0"/>
          <w:numId w:val="2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We prepare an annual budget as part of our annual work plan</w:t>
      </w:r>
    </w:p>
    <w:p w14:paraId="3986C24F" w14:textId="77777777" w:rsidR="00F27A63" w:rsidRPr="00D179CB" w:rsidRDefault="00F27A63" w:rsidP="00F27A63">
      <w:pPr>
        <w:pStyle w:val="ListParagraph"/>
        <w:numPr>
          <w:ilvl w:val="0"/>
          <w:numId w:val="2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The budget is not valid until it has been approved by the </w:t>
      </w:r>
      <w:r>
        <w:rPr>
          <w:rFonts w:ascii="Verdana" w:hAnsi="Verdana"/>
          <w:color w:val="000000" w:themeColor="text1"/>
        </w:rPr>
        <w:t>governing body</w:t>
      </w:r>
    </w:p>
    <w:p w14:paraId="01D92BAB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p w14:paraId="036CDFDE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Expenditure</w:t>
      </w:r>
    </w:p>
    <w:p w14:paraId="02D50997" w14:textId="77777777" w:rsidR="00F27A63" w:rsidRPr="00D179CB" w:rsidRDefault="00F27A63" w:rsidP="00F27A63">
      <w:pPr>
        <w:pStyle w:val="ListParagraph"/>
        <w:numPr>
          <w:ilvl w:val="0"/>
          <w:numId w:val="6"/>
        </w:numPr>
        <w:spacing w:after="0" w:line="300" w:lineRule="auto"/>
        <w:rPr>
          <w:rFonts w:ascii="Verdana" w:eastAsia="Times New Roman" w:hAnsi="Verdana" w:cs="Arial"/>
          <w:color w:val="000000" w:themeColor="text1"/>
          <w:lang w:eastAsia="en-IE"/>
        </w:rPr>
      </w:pPr>
      <w:r>
        <w:rPr>
          <w:rFonts w:ascii="Verdana" w:eastAsia="Times New Roman" w:hAnsi="Verdana" w:cs="Arial"/>
          <w:color w:val="000000" w:themeColor="text1"/>
          <w:lang w:eastAsia="en-IE"/>
        </w:rPr>
        <w:t>The c</w:t>
      </w:r>
      <w:r w:rsidRPr="00D179CB">
        <w:rPr>
          <w:rFonts w:ascii="Verdana" w:eastAsia="Times New Roman" w:hAnsi="Verdana" w:cs="Arial"/>
          <w:color w:val="000000" w:themeColor="text1"/>
          <w:lang w:eastAsia="en-IE"/>
        </w:rPr>
        <w:t xml:space="preserve">hairperson and </w:t>
      </w:r>
      <w:r>
        <w:rPr>
          <w:rFonts w:ascii="Verdana" w:eastAsia="Times New Roman" w:hAnsi="Verdana" w:cs="Arial"/>
          <w:color w:val="000000" w:themeColor="text1"/>
          <w:lang w:eastAsia="en-IE"/>
        </w:rPr>
        <w:t>t</w:t>
      </w:r>
      <w:r w:rsidRPr="00D179CB">
        <w:rPr>
          <w:rFonts w:ascii="Verdana" w:eastAsia="Times New Roman" w:hAnsi="Verdana" w:cs="Arial"/>
          <w:color w:val="000000" w:themeColor="text1"/>
          <w:lang w:eastAsia="en-IE"/>
        </w:rPr>
        <w:t>reasurer can approve expenditure up to €</w:t>
      </w:r>
      <w:r>
        <w:rPr>
          <w:rFonts w:ascii="Verdana" w:eastAsia="Times New Roman" w:hAnsi="Verdana" w:cs="Arial"/>
          <w:color w:val="000000" w:themeColor="text1"/>
          <w:u w:val="single"/>
          <w:lang w:eastAsia="en-IE"/>
        </w:rPr>
        <w:t xml:space="preserve">                </w:t>
      </w:r>
      <w:r w:rsidRPr="00D179CB">
        <w:rPr>
          <w:rFonts w:ascii="Verdana" w:eastAsia="Times New Roman" w:hAnsi="Verdana" w:cs="Arial"/>
          <w:color w:val="000000" w:themeColor="text1"/>
          <w:lang w:eastAsia="en-IE"/>
        </w:rPr>
        <w:t>, provided that this is for items listed in the approved budget</w:t>
      </w:r>
    </w:p>
    <w:p w14:paraId="41DDAA55" w14:textId="77777777" w:rsidR="00F27A63" w:rsidRPr="00D179CB" w:rsidRDefault="00F27A63" w:rsidP="00F27A63">
      <w:pPr>
        <w:pStyle w:val="ListParagraph"/>
        <w:numPr>
          <w:ilvl w:val="0"/>
          <w:numId w:val="6"/>
        </w:numPr>
        <w:spacing w:after="0" w:line="300" w:lineRule="auto"/>
        <w:rPr>
          <w:rFonts w:ascii="Verdana" w:eastAsia="Times New Roman" w:hAnsi="Verdana" w:cs="Arial"/>
          <w:color w:val="000000" w:themeColor="text1"/>
          <w:lang w:eastAsia="en-IE"/>
        </w:rPr>
      </w:pPr>
      <w:r w:rsidRPr="00D179CB">
        <w:rPr>
          <w:rFonts w:ascii="Verdana" w:eastAsia="Times New Roman" w:hAnsi="Verdana" w:cs="Arial"/>
          <w:color w:val="000000" w:themeColor="text1"/>
          <w:lang w:eastAsia="en-IE"/>
        </w:rPr>
        <w:t xml:space="preserve">All expenditure approvals should be documented in writing to/by the </w:t>
      </w:r>
      <w:r>
        <w:rPr>
          <w:rFonts w:ascii="Verdana" w:eastAsia="Times New Roman" w:hAnsi="Verdana" w:cs="Arial"/>
          <w:color w:val="000000" w:themeColor="text1"/>
          <w:lang w:eastAsia="en-IE"/>
        </w:rPr>
        <w:t>t</w:t>
      </w:r>
      <w:r w:rsidRPr="00D179CB">
        <w:rPr>
          <w:rFonts w:ascii="Verdana" w:eastAsia="Times New Roman" w:hAnsi="Verdana" w:cs="Arial"/>
          <w:color w:val="000000" w:themeColor="text1"/>
          <w:lang w:eastAsia="en-IE"/>
        </w:rPr>
        <w:t>reasurer (email is acceptable)</w:t>
      </w:r>
    </w:p>
    <w:p w14:paraId="6FDC4A36" w14:textId="77777777" w:rsidR="00F27A63" w:rsidRPr="00D179CB" w:rsidRDefault="00F27A63" w:rsidP="00F27A63">
      <w:pPr>
        <w:pStyle w:val="ListParagraph"/>
        <w:numPr>
          <w:ilvl w:val="0"/>
          <w:numId w:val="4"/>
        </w:numPr>
        <w:spacing w:after="0" w:line="300" w:lineRule="auto"/>
        <w:rPr>
          <w:rFonts w:ascii="Verdana" w:eastAsia="Times New Roman" w:hAnsi="Verdana" w:cs="Arial"/>
          <w:color w:val="000000" w:themeColor="text1"/>
          <w:lang w:eastAsia="en-IE"/>
        </w:rPr>
      </w:pPr>
      <w:r w:rsidRPr="00D179CB">
        <w:rPr>
          <w:rFonts w:ascii="Verdana" w:eastAsia="Times New Roman" w:hAnsi="Verdana" w:cs="Arial"/>
          <w:color w:val="000000" w:themeColor="text1"/>
          <w:lang w:eastAsia="en-IE"/>
        </w:rPr>
        <w:t>Any expenditure that is not in the budget and any expenditure that is beyond €</w:t>
      </w:r>
      <w:r>
        <w:rPr>
          <w:rFonts w:ascii="Verdana" w:eastAsia="Times New Roman" w:hAnsi="Verdana" w:cs="Arial"/>
          <w:color w:val="000000" w:themeColor="text1"/>
          <w:u w:val="single"/>
          <w:lang w:eastAsia="en-IE"/>
        </w:rPr>
        <w:t xml:space="preserve">  </w:t>
      </w:r>
      <w:r w:rsidRPr="00D179CB">
        <w:rPr>
          <w:rFonts w:ascii="Verdana" w:eastAsia="Times New Roman" w:hAnsi="Verdana" w:cs="Arial"/>
          <w:color w:val="000000" w:themeColor="text1"/>
          <w:lang w:eastAsia="en-IE"/>
        </w:rPr>
        <w:t xml:space="preserve"> is considered exceptional and must be pre-approved by the </w:t>
      </w:r>
      <w:r>
        <w:rPr>
          <w:rFonts w:ascii="Verdana" w:eastAsia="Times New Roman" w:hAnsi="Verdana" w:cs="Arial"/>
          <w:color w:val="000000" w:themeColor="text1"/>
          <w:lang w:eastAsia="en-IE"/>
        </w:rPr>
        <w:t>governing body</w:t>
      </w:r>
    </w:p>
    <w:p w14:paraId="7117E091" w14:textId="77777777" w:rsidR="00F27A63" w:rsidRPr="00D179CB" w:rsidRDefault="00F27A63" w:rsidP="00F27A63">
      <w:pPr>
        <w:pStyle w:val="ListParagraph"/>
        <w:numPr>
          <w:ilvl w:val="0"/>
          <w:numId w:val="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invoices must be matched with their expenditure approval confirmation</w:t>
      </w:r>
    </w:p>
    <w:p w14:paraId="3C0F0AB2" w14:textId="77777777" w:rsidR="00F27A63" w:rsidRPr="00D179CB" w:rsidRDefault="00F27A63" w:rsidP="00F27A63">
      <w:pPr>
        <w:pStyle w:val="ListParagraph"/>
        <w:numPr>
          <w:ilvl w:val="0"/>
          <w:numId w:val="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invoices must be linked to the appropriate budget item</w:t>
      </w:r>
    </w:p>
    <w:p w14:paraId="281A176C" w14:textId="77777777" w:rsidR="00F27A63" w:rsidRPr="00D179CB" w:rsidRDefault="00F27A63" w:rsidP="00F27A63">
      <w:pPr>
        <w:numPr>
          <w:ilvl w:val="0"/>
          <w:numId w:val="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Invoices are approved and paid within </w:t>
      </w:r>
      <w:r>
        <w:rPr>
          <w:rFonts w:ascii="Verdana" w:hAnsi="Verdana"/>
          <w:color w:val="000000" w:themeColor="text1"/>
        </w:rPr>
        <w:t>31</w:t>
      </w:r>
      <w:r w:rsidRPr="00D179CB">
        <w:rPr>
          <w:rFonts w:ascii="Verdana" w:hAnsi="Verdana"/>
          <w:color w:val="000000" w:themeColor="text1"/>
        </w:rPr>
        <w:t xml:space="preserve"> days</w:t>
      </w:r>
    </w:p>
    <w:p w14:paraId="0C014C06" w14:textId="77777777" w:rsidR="00F27A63" w:rsidRPr="00D179CB" w:rsidRDefault="00F27A63" w:rsidP="00F27A63">
      <w:pPr>
        <w:pStyle w:val="ListParagraph"/>
        <w:numPr>
          <w:ilvl w:val="0"/>
          <w:numId w:val="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Expenditure approvals are reviewed quarterly and any outstanding invoices are </w:t>
      </w:r>
      <w:r>
        <w:rPr>
          <w:rFonts w:ascii="Verdana" w:hAnsi="Verdana"/>
          <w:color w:val="000000" w:themeColor="text1"/>
        </w:rPr>
        <w:t>followed up</w:t>
      </w:r>
    </w:p>
    <w:p w14:paraId="28CE4817" w14:textId="77777777" w:rsidR="00F27A63" w:rsidRPr="00D179CB" w:rsidRDefault="00F27A63" w:rsidP="00F27A63">
      <w:pPr>
        <w:pStyle w:val="ListParagraph"/>
        <w:numPr>
          <w:ilvl w:val="0"/>
          <w:numId w:val="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This also applies to standing orders and direct debits</w:t>
      </w:r>
    </w:p>
    <w:p w14:paraId="0CB05FE4" w14:textId="77777777" w:rsidR="00F27A63" w:rsidRPr="00D179CB" w:rsidRDefault="00F27A63" w:rsidP="00F27A63">
      <w:pPr>
        <w:pStyle w:val="ListParagraph"/>
        <w:numPr>
          <w:ilvl w:val="0"/>
          <w:numId w:val="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expenditure is recorded in a monthly spreadsheet</w:t>
      </w:r>
    </w:p>
    <w:p w14:paraId="655B76E2" w14:textId="77777777" w:rsidR="00F27A63" w:rsidRPr="00D179CB" w:rsidRDefault="00F27A63" w:rsidP="00F27A63">
      <w:pPr>
        <w:pStyle w:val="ListParagraph"/>
        <w:numPr>
          <w:ilvl w:val="0"/>
          <w:numId w:val="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associated paperwork is filed</w:t>
      </w:r>
    </w:p>
    <w:p w14:paraId="00EC99C4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p w14:paraId="0FD3A9A1" w14:textId="77777777" w:rsidR="00F27A63" w:rsidRPr="00D179CB" w:rsidRDefault="00F27A63" w:rsidP="00F27A63">
      <w:pPr>
        <w:pStyle w:val="Heading1"/>
        <w:spacing w:before="0" w:line="300" w:lineRule="auto"/>
        <w:rPr>
          <w:rFonts w:ascii="Verdana" w:hAnsi="Verdana"/>
          <w:b/>
          <w:color w:val="000000" w:themeColor="text1"/>
          <w:sz w:val="22"/>
          <w:szCs w:val="22"/>
          <w:lang w:val="en-GB"/>
        </w:rPr>
      </w:pPr>
      <w:r w:rsidRPr="00D179CB">
        <w:rPr>
          <w:rFonts w:ascii="Verdana" w:hAnsi="Verdana"/>
          <w:b/>
          <w:color w:val="000000" w:themeColor="text1"/>
          <w:sz w:val="22"/>
          <w:szCs w:val="22"/>
          <w:lang w:val="en-GB"/>
        </w:rPr>
        <w:t>Petty cash</w:t>
      </w:r>
    </w:p>
    <w:p w14:paraId="461F4C85" w14:textId="77777777" w:rsidR="00F27A63" w:rsidRPr="00D179CB" w:rsidRDefault="00F27A63" w:rsidP="00F27A63">
      <w:pPr>
        <w:numPr>
          <w:ilvl w:val="0"/>
          <w:numId w:val="7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The petty cash float is held by the treasurer who is responsible for keeping it safe</w:t>
      </w:r>
    </w:p>
    <w:p w14:paraId="39C77727" w14:textId="77777777" w:rsidR="00F27A63" w:rsidRPr="00D179CB" w:rsidRDefault="00F27A63" w:rsidP="00F27A63">
      <w:pPr>
        <w:numPr>
          <w:ilvl w:val="0"/>
          <w:numId w:val="7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The float may not exceed </w:t>
      </w:r>
      <w:r>
        <w:rPr>
          <w:rFonts w:ascii="Verdana" w:hAnsi="Verdana"/>
          <w:color w:val="000000" w:themeColor="text1"/>
        </w:rPr>
        <w:t>€</w:t>
      </w:r>
    </w:p>
    <w:p w14:paraId="3432D375" w14:textId="77777777" w:rsidR="00F27A63" w:rsidRPr="00D179CB" w:rsidRDefault="00F27A63" w:rsidP="00F27A63">
      <w:pPr>
        <w:numPr>
          <w:ilvl w:val="0"/>
          <w:numId w:val="7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Receipts must be obtained and retained for all petty cash expenditure</w:t>
      </w:r>
    </w:p>
    <w:p w14:paraId="1CE70380" w14:textId="77777777" w:rsidR="00F27A63" w:rsidRPr="00D179CB" w:rsidRDefault="00F27A63" w:rsidP="00F27A63">
      <w:pPr>
        <w:spacing w:after="0" w:line="300" w:lineRule="auto"/>
        <w:ind w:firstLine="48"/>
        <w:rPr>
          <w:rFonts w:ascii="Verdana" w:hAnsi="Verdana"/>
          <w:color w:val="000000" w:themeColor="text1"/>
        </w:rPr>
      </w:pPr>
    </w:p>
    <w:p w14:paraId="657E10BA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Out-of-pocket</w:t>
      </w:r>
      <w:r>
        <w:rPr>
          <w:rFonts w:ascii="Verdana" w:hAnsi="Verdana"/>
          <w:b/>
          <w:color w:val="000000" w:themeColor="text1"/>
        </w:rPr>
        <w:t xml:space="preserve"> volunteer expenses, including trustee</w:t>
      </w:r>
      <w:r w:rsidRPr="00D179CB">
        <w:rPr>
          <w:rFonts w:ascii="Verdana" w:hAnsi="Verdana"/>
          <w:b/>
          <w:color w:val="000000" w:themeColor="text1"/>
        </w:rPr>
        <w:t xml:space="preserve"> expenses</w:t>
      </w:r>
    </w:p>
    <w:p w14:paraId="3054977F" w14:textId="77777777" w:rsidR="00F27A63" w:rsidRPr="00316D8C" w:rsidRDefault="00F27A63" w:rsidP="00F27A63">
      <w:pPr>
        <w:numPr>
          <w:ilvl w:val="0"/>
          <w:numId w:val="8"/>
        </w:numPr>
        <w:spacing w:after="0" w:line="300" w:lineRule="auto"/>
        <w:rPr>
          <w:rFonts w:ascii="Verdana" w:hAnsi="Verdana"/>
          <w:color w:val="000000" w:themeColor="text1"/>
          <w:u w:val="single"/>
        </w:rPr>
      </w:pPr>
      <w:r w:rsidRPr="00D179CB">
        <w:rPr>
          <w:rFonts w:ascii="Verdana" w:hAnsi="Verdana"/>
          <w:color w:val="000000" w:themeColor="text1"/>
        </w:rPr>
        <w:t xml:space="preserve">The following are allowable expenses: </w:t>
      </w:r>
      <w:r>
        <w:rPr>
          <w:rFonts w:ascii="Verdana" w:hAnsi="Verdana"/>
          <w:color w:val="000000" w:themeColor="text1"/>
          <w:u w:val="single"/>
        </w:rPr>
        <w:t xml:space="preserve">  </w:t>
      </w:r>
    </w:p>
    <w:p w14:paraId="3844BA81" w14:textId="77777777" w:rsidR="00F27A63" w:rsidRPr="00D179CB" w:rsidRDefault="00F27A63" w:rsidP="00F27A63">
      <w:pPr>
        <w:numPr>
          <w:ilvl w:val="0"/>
          <w:numId w:val="8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Expense claims should be submitted as early as possible after being incurred</w:t>
      </w:r>
    </w:p>
    <w:p w14:paraId="3FB3B8C3" w14:textId="77777777" w:rsidR="00F27A63" w:rsidRPr="00D179CB" w:rsidRDefault="00F27A63" w:rsidP="00F27A63">
      <w:pPr>
        <w:numPr>
          <w:ilvl w:val="0"/>
          <w:numId w:val="8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Claims not submitted within six months are considered void</w:t>
      </w:r>
    </w:p>
    <w:p w14:paraId="6CC3D8C5" w14:textId="77777777" w:rsidR="00F27A63" w:rsidRPr="00D179CB" w:rsidRDefault="00F27A63" w:rsidP="00F27A63">
      <w:pPr>
        <w:numPr>
          <w:ilvl w:val="0"/>
          <w:numId w:val="8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Receipts are required for all expenses</w:t>
      </w:r>
    </w:p>
    <w:p w14:paraId="305FE5CB" w14:textId="77777777" w:rsidR="00F27A63" w:rsidRPr="00D179CB" w:rsidRDefault="00F27A63" w:rsidP="00F27A63">
      <w:pPr>
        <w:numPr>
          <w:ilvl w:val="0"/>
          <w:numId w:val="8"/>
        </w:numPr>
        <w:spacing w:after="0" w:line="30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Expenses up to €     </w:t>
      </w:r>
      <w:r w:rsidRPr="00D179CB">
        <w:rPr>
          <w:rFonts w:ascii="Verdana" w:hAnsi="Verdana"/>
          <w:color w:val="000000" w:themeColor="text1"/>
        </w:rPr>
        <w:t xml:space="preserve"> may be claimed from petty cash </w:t>
      </w:r>
    </w:p>
    <w:p w14:paraId="69FF69B2" w14:textId="77777777" w:rsidR="00F27A63" w:rsidRPr="00D179CB" w:rsidRDefault="00F27A63" w:rsidP="00F27A63">
      <w:pPr>
        <w:numPr>
          <w:ilvl w:val="0"/>
          <w:numId w:val="8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Expenses over € must be formally pre-approved by the </w:t>
      </w:r>
      <w:r>
        <w:rPr>
          <w:rFonts w:ascii="Verdana" w:hAnsi="Verdana"/>
          <w:color w:val="000000" w:themeColor="text1"/>
        </w:rPr>
        <w:t>governing body</w:t>
      </w:r>
    </w:p>
    <w:p w14:paraId="0686C069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Income</w:t>
      </w:r>
    </w:p>
    <w:p w14:paraId="7A904173" w14:textId="77777777" w:rsidR="00F27A63" w:rsidRPr="00D179CB" w:rsidRDefault="00F27A63" w:rsidP="00F27A63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All </w:t>
      </w:r>
      <w:r>
        <w:rPr>
          <w:rFonts w:ascii="Verdana" w:hAnsi="Verdana"/>
          <w:color w:val="000000" w:themeColor="text1"/>
        </w:rPr>
        <w:t xml:space="preserve">income </w:t>
      </w:r>
      <w:r w:rsidRPr="00D179CB">
        <w:rPr>
          <w:rFonts w:ascii="Verdana" w:hAnsi="Verdana"/>
          <w:color w:val="000000" w:themeColor="text1"/>
        </w:rPr>
        <w:t>(cash, cheque or other) is receipted</w:t>
      </w:r>
    </w:p>
    <w:p w14:paraId="0B2BD9A8" w14:textId="77777777" w:rsidR="00F27A63" w:rsidRPr="00D179CB" w:rsidRDefault="00F27A63" w:rsidP="00F27A63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Monies must be given to the </w:t>
      </w:r>
      <w:r>
        <w:rPr>
          <w:rFonts w:ascii="Verdana" w:hAnsi="Verdana"/>
          <w:color w:val="000000" w:themeColor="text1"/>
        </w:rPr>
        <w:t>t</w:t>
      </w:r>
      <w:r w:rsidRPr="00D179CB">
        <w:rPr>
          <w:rFonts w:ascii="Verdana" w:hAnsi="Verdana"/>
          <w:color w:val="000000" w:themeColor="text1"/>
        </w:rPr>
        <w:t>reasurer as soon as possible after receipt</w:t>
      </w:r>
    </w:p>
    <w:p w14:paraId="2C49C5B1" w14:textId="77777777" w:rsidR="00F27A63" w:rsidRPr="00D179CB" w:rsidRDefault="00F27A63" w:rsidP="00F27A63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The t</w:t>
      </w:r>
      <w:r w:rsidRPr="00D179CB">
        <w:rPr>
          <w:rFonts w:ascii="Verdana" w:hAnsi="Verdana"/>
          <w:color w:val="000000" w:themeColor="text1"/>
        </w:rPr>
        <w:t>reasurer must lodge money as soon as possible after receipt</w:t>
      </w:r>
    </w:p>
    <w:p w14:paraId="2531F1F7" w14:textId="77777777" w:rsidR="00F27A63" w:rsidRPr="00D179CB" w:rsidRDefault="00F27A63" w:rsidP="00F27A63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income is recorded in a monthly spreadsheet</w:t>
      </w:r>
    </w:p>
    <w:p w14:paraId="081C6255" w14:textId="77777777" w:rsidR="00F27A63" w:rsidRPr="00D179CB" w:rsidRDefault="00F27A63" w:rsidP="00F27A63">
      <w:pPr>
        <w:pStyle w:val="ListParagraph"/>
        <w:numPr>
          <w:ilvl w:val="0"/>
          <w:numId w:val="9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associated paperwork is filed</w:t>
      </w:r>
    </w:p>
    <w:p w14:paraId="43F502F0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p w14:paraId="297E8389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 xml:space="preserve">Bank accounts </w:t>
      </w:r>
    </w:p>
    <w:p w14:paraId="7588EA25" w14:textId="77777777" w:rsidR="00F27A63" w:rsidRPr="00D179CB" w:rsidRDefault="00F27A63" w:rsidP="00F27A63">
      <w:pPr>
        <w:pStyle w:val="ListParagraph"/>
        <w:numPr>
          <w:ilvl w:val="0"/>
          <w:numId w:val="10"/>
        </w:num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 xml:space="preserve">The </w:t>
      </w:r>
      <w:r>
        <w:rPr>
          <w:rFonts w:ascii="Verdana" w:eastAsia="Times New Roman" w:hAnsi="Verdana" w:cs="Times New Roman"/>
          <w:color w:val="000000" w:themeColor="text1"/>
          <w:lang w:eastAsia="en-IE"/>
        </w:rPr>
        <w:t>governing body</w:t>
      </w:r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 xml:space="preserve"> makes decisions about bank </w:t>
      </w:r>
      <w:proofErr w:type="spellStart"/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>acounts</w:t>
      </w:r>
      <w:proofErr w:type="spellEnd"/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 xml:space="preserve"> and signatories</w:t>
      </w:r>
    </w:p>
    <w:p w14:paraId="208B834E" w14:textId="77777777" w:rsidR="00F27A63" w:rsidRPr="00D179CB" w:rsidRDefault="00F27A63" w:rsidP="00F27A63">
      <w:pPr>
        <w:pStyle w:val="ListParagraph"/>
        <w:numPr>
          <w:ilvl w:val="0"/>
          <w:numId w:val="10"/>
        </w:num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>We have XXX bank account(s), the details of which are: XXX</w:t>
      </w:r>
    </w:p>
    <w:p w14:paraId="2339168A" w14:textId="77777777" w:rsidR="00F27A63" w:rsidRPr="00D179CB" w:rsidRDefault="00F27A63" w:rsidP="00F27A63">
      <w:pPr>
        <w:numPr>
          <w:ilvl w:val="0"/>
          <w:numId w:val="10"/>
        </w:numPr>
        <w:spacing w:after="0" w:line="30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Cheque books are held by the t</w:t>
      </w:r>
      <w:r w:rsidRPr="00D179CB">
        <w:rPr>
          <w:rFonts w:ascii="Verdana" w:hAnsi="Verdana"/>
          <w:color w:val="000000" w:themeColor="text1"/>
        </w:rPr>
        <w:t>reasurer who is responsible for keeping them safe</w:t>
      </w:r>
    </w:p>
    <w:p w14:paraId="60225F62" w14:textId="77777777" w:rsidR="00F27A63" w:rsidRPr="00D179CB" w:rsidRDefault="00F27A63" w:rsidP="00F27A63">
      <w:pPr>
        <w:pStyle w:val="ListParagraph"/>
        <w:numPr>
          <w:ilvl w:val="0"/>
          <w:numId w:val="10"/>
        </w:num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>There are three authorised signatories who are: XXX</w:t>
      </w:r>
    </w:p>
    <w:p w14:paraId="21B215BC" w14:textId="77777777" w:rsidR="00F27A63" w:rsidRPr="00D179CB" w:rsidRDefault="00F27A63" w:rsidP="00F27A63">
      <w:pPr>
        <w:pStyle w:val="ListParagraph"/>
        <w:numPr>
          <w:ilvl w:val="0"/>
          <w:numId w:val="10"/>
        </w:num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>Signatories may never be related to each other</w:t>
      </w:r>
    </w:p>
    <w:p w14:paraId="47F88CB0" w14:textId="77777777" w:rsidR="00F27A63" w:rsidRPr="00D179CB" w:rsidRDefault="00F27A63" w:rsidP="00F27A63">
      <w:pPr>
        <w:pStyle w:val="ListParagraph"/>
        <w:numPr>
          <w:ilvl w:val="0"/>
          <w:numId w:val="10"/>
        </w:num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>T</w:t>
      </w:r>
      <w:r w:rsidRPr="00D179CB">
        <w:rPr>
          <w:rFonts w:ascii="Verdana" w:hAnsi="Verdana" w:cs="Arial"/>
        </w:rPr>
        <w:t>wo signatories are required to sign cheques, withdraw or transfer any funds from the account</w:t>
      </w:r>
      <w:r w:rsidRPr="00D179CB">
        <w:rPr>
          <w:rFonts w:ascii="Verdana" w:eastAsia="Times New Roman" w:hAnsi="Verdana" w:cs="Times New Roman"/>
          <w:color w:val="000000" w:themeColor="text1"/>
          <w:lang w:eastAsia="en-IE"/>
        </w:rPr>
        <w:t>(s)</w:t>
      </w:r>
    </w:p>
    <w:p w14:paraId="253A090A" w14:textId="77777777" w:rsidR="00F27A63" w:rsidRPr="00D179CB" w:rsidRDefault="00F27A63" w:rsidP="00F27A63">
      <w:pPr>
        <w:numPr>
          <w:ilvl w:val="0"/>
          <w:numId w:val="10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Passwords for internet banking are held by XXX</w:t>
      </w:r>
    </w:p>
    <w:p w14:paraId="3E799AF3" w14:textId="77777777" w:rsidR="00F27A63" w:rsidRPr="00D179CB" w:rsidRDefault="00F27A63" w:rsidP="00F27A63">
      <w:pPr>
        <w:numPr>
          <w:ilvl w:val="0"/>
          <w:numId w:val="10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Passwords are changed regularly and this is done immediately on a relevant </w:t>
      </w:r>
      <w:r>
        <w:rPr>
          <w:rFonts w:ascii="Verdana" w:hAnsi="Verdana"/>
          <w:color w:val="000000" w:themeColor="text1"/>
        </w:rPr>
        <w:t>trustee</w:t>
      </w:r>
      <w:r w:rsidRPr="00D179CB">
        <w:rPr>
          <w:rFonts w:ascii="Verdana" w:hAnsi="Verdana"/>
          <w:color w:val="000000" w:themeColor="text1"/>
        </w:rPr>
        <w:t xml:space="preserve">’s departure from the </w:t>
      </w:r>
      <w:r>
        <w:rPr>
          <w:rFonts w:ascii="Verdana" w:hAnsi="Verdana"/>
          <w:color w:val="000000" w:themeColor="text1"/>
        </w:rPr>
        <w:t>governing body</w:t>
      </w:r>
    </w:p>
    <w:p w14:paraId="5A3A3FB5" w14:textId="77777777" w:rsidR="00F27A63" w:rsidRPr="00D179CB" w:rsidRDefault="00F27A63" w:rsidP="00F27A63">
      <w:pPr>
        <w:numPr>
          <w:ilvl w:val="0"/>
          <w:numId w:val="10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online banking transactions have a hard copy</w:t>
      </w:r>
    </w:p>
    <w:p w14:paraId="07AADE05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p w14:paraId="4114226F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Bank statements</w:t>
      </w:r>
    </w:p>
    <w:p w14:paraId="3C79D424" w14:textId="77777777" w:rsidR="00F27A63" w:rsidRPr="00D179CB" w:rsidRDefault="00F27A63" w:rsidP="00F27A63">
      <w:pPr>
        <w:numPr>
          <w:ilvl w:val="0"/>
          <w:numId w:val="1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Bank statements are obtained on a quarterly basis at minimum</w:t>
      </w:r>
    </w:p>
    <w:p w14:paraId="28CC3E6C" w14:textId="77777777" w:rsidR="00F27A63" w:rsidRPr="00D179CB" w:rsidRDefault="00F27A63" w:rsidP="00F27A63">
      <w:pPr>
        <w:numPr>
          <w:ilvl w:val="0"/>
          <w:numId w:val="1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items are checked off against income and expenditure records</w:t>
      </w:r>
    </w:p>
    <w:p w14:paraId="3E838ACE" w14:textId="77777777" w:rsidR="00F27A63" w:rsidRPr="00D179CB" w:rsidRDefault="00F27A63" w:rsidP="00F27A63">
      <w:pPr>
        <w:pStyle w:val="ListParagraph"/>
        <w:numPr>
          <w:ilvl w:val="0"/>
          <w:numId w:val="1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Bank records are reconciled with the accounting records each quarter</w:t>
      </w:r>
    </w:p>
    <w:p w14:paraId="5770C4F2" w14:textId="77777777" w:rsidR="00F27A63" w:rsidRPr="00D179CB" w:rsidRDefault="00F27A63" w:rsidP="00F27A63">
      <w:pPr>
        <w:numPr>
          <w:ilvl w:val="0"/>
          <w:numId w:val="11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Any discrepancies are investigated</w:t>
      </w:r>
    </w:p>
    <w:p w14:paraId="1C405607" w14:textId="77777777" w:rsidR="00F27A63" w:rsidRPr="00D179CB" w:rsidRDefault="00F27A63" w:rsidP="00F27A63">
      <w:pPr>
        <w:spacing w:after="0" w:line="300" w:lineRule="auto"/>
        <w:ind w:left="360"/>
        <w:rPr>
          <w:rFonts w:ascii="Verdana" w:hAnsi="Verdana"/>
          <w:color w:val="000000" w:themeColor="text1"/>
        </w:rPr>
      </w:pPr>
    </w:p>
    <w:p w14:paraId="6B310369" w14:textId="77777777" w:rsidR="00F27A63" w:rsidRPr="00D179CB" w:rsidRDefault="00F27A63" w:rsidP="00F27A63">
      <w:pPr>
        <w:spacing w:after="0" w:line="300" w:lineRule="auto"/>
        <w:ind w:left="360" w:hanging="360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Financial reporting</w:t>
      </w:r>
    </w:p>
    <w:p w14:paraId="525CCE2D" w14:textId="77777777" w:rsidR="00F27A63" w:rsidRPr="00D179CB" w:rsidRDefault="00F27A63" w:rsidP="00F27A63">
      <w:pPr>
        <w:pStyle w:val="ListParagraph"/>
        <w:numPr>
          <w:ilvl w:val="0"/>
          <w:numId w:val="12"/>
        </w:num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Quarterly income and expenditure accounts are prepared which are discussed at </w:t>
      </w:r>
      <w:r>
        <w:rPr>
          <w:rFonts w:ascii="Verdana" w:hAnsi="Verdana"/>
          <w:color w:val="000000" w:themeColor="text1"/>
        </w:rPr>
        <w:t>governing body</w:t>
      </w:r>
      <w:r w:rsidRPr="00D179CB">
        <w:rPr>
          <w:rFonts w:ascii="Verdana" w:hAnsi="Verdana"/>
          <w:color w:val="000000" w:themeColor="text1"/>
        </w:rPr>
        <w:t xml:space="preserve"> meetings</w:t>
      </w:r>
    </w:p>
    <w:p w14:paraId="4D5E7814" w14:textId="77777777" w:rsidR="00F27A63" w:rsidRPr="00D179CB" w:rsidRDefault="00F27A63" w:rsidP="00F27A63">
      <w:pPr>
        <w:pStyle w:val="ListParagraph"/>
        <w:numPr>
          <w:ilvl w:val="0"/>
          <w:numId w:val="3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An annual financial statement is prepared that is approved by the </w:t>
      </w:r>
      <w:r>
        <w:rPr>
          <w:rFonts w:ascii="Verdana" w:hAnsi="Verdana"/>
          <w:color w:val="000000" w:themeColor="text1"/>
        </w:rPr>
        <w:t>governing body</w:t>
      </w:r>
    </w:p>
    <w:p w14:paraId="3C31680A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p w14:paraId="4E711A21" w14:textId="77777777" w:rsidR="00F27A63" w:rsidRPr="00D179CB" w:rsidRDefault="00F27A63" w:rsidP="00F27A63">
      <w:pPr>
        <w:spacing w:after="0" w:line="300" w:lineRule="auto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Assets management</w:t>
      </w:r>
    </w:p>
    <w:p w14:paraId="64043D4D" w14:textId="77777777" w:rsidR="00F27A63" w:rsidRPr="00D179CB" w:rsidRDefault="00F27A63" w:rsidP="00F27A63">
      <w:pPr>
        <w:pStyle w:val="ListParagraph"/>
        <w:numPr>
          <w:ilvl w:val="0"/>
          <w:numId w:val="12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The assets that we own that are worth over €200 are listed below</w:t>
      </w:r>
    </w:p>
    <w:p w14:paraId="11B0A099" w14:textId="77777777" w:rsidR="00F27A63" w:rsidRPr="00D179CB" w:rsidRDefault="00F27A63" w:rsidP="00F27A63">
      <w:pPr>
        <w:pStyle w:val="ListParagraph"/>
        <w:numPr>
          <w:ilvl w:val="0"/>
          <w:numId w:val="12"/>
        </w:numPr>
        <w:spacing w:after="0" w:line="300" w:lineRule="auto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 xml:space="preserve">Only the </w:t>
      </w:r>
      <w:r>
        <w:rPr>
          <w:rFonts w:ascii="Verdana" w:hAnsi="Verdana"/>
          <w:color w:val="000000" w:themeColor="text1"/>
        </w:rPr>
        <w:t>governing body</w:t>
      </w:r>
      <w:r w:rsidRPr="00D179CB">
        <w:rPr>
          <w:rFonts w:ascii="Verdana" w:hAnsi="Verdana"/>
          <w:color w:val="000000" w:themeColor="text1"/>
        </w:rPr>
        <w:t xml:space="preserve"> can approve the disposal, sale, or transfer to another charity, of any assets that are no longer of use to us</w:t>
      </w:r>
    </w:p>
    <w:p w14:paraId="400DB718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6"/>
        <w:gridCol w:w="1686"/>
        <w:gridCol w:w="2205"/>
        <w:gridCol w:w="1956"/>
        <w:gridCol w:w="1513"/>
      </w:tblGrid>
      <w:tr w:rsidR="00F27A63" w:rsidRPr="00D179CB" w14:paraId="690FFDE8" w14:textId="77777777" w:rsidTr="00602293">
        <w:tc>
          <w:tcPr>
            <w:tcW w:w="918" w:type="pct"/>
            <w:shd w:val="clear" w:color="auto" w:fill="00CCFF"/>
          </w:tcPr>
          <w:p w14:paraId="6935DF52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  <w:r w:rsidRPr="00D179CB">
              <w:rPr>
                <w:rFonts w:ascii="Verdana" w:hAnsi="Verdana"/>
                <w:color w:val="000000" w:themeColor="text1"/>
              </w:rPr>
              <w:t>Items</w:t>
            </w:r>
          </w:p>
        </w:tc>
        <w:tc>
          <w:tcPr>
            <w:tcW w:w="935" w:type="pct"/>
            <w:shd w:val="clear" w:color="auto" w:fill="00CCFF"/>
          </w:tcPr>
          <w:p w14:paraId="52C53131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  <w:r w:rsidRPr="00D179CB">
              <w:rPr>
                <w:rFonts w:ascii="Verdana" w:hAnsi="Verdana"/>
                <w:color w:val="000000" w:themeColor="text1"/>
              </w:rPr>
              <w:t>Date acquired</w:t>
            </w:r>
          </w:p>
        </w:tc>
        <w:tc>
          <w:tcPr>
            <w:tcW w:w="1223" w:type="pct"/>
            <w:shd w:val="clear" w:color="auto" w:fill="00CCFF"/>
          </w:tcPr>
          <w:p w14:paraId="71FD0DEC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  <w:r w:rsidRPr="00D179CB">
              <w:rPr>
                <w:rFonts w:ascii="Verdana" w:hAnsi="Verdana"/>
                <w:color w:val="000000" w:themeColor="text1"/>
              </w:rPr>
              <w:t>Replacement cost €</w:t>
            </w:r>
          </w:p>
        </w:tc>
        <w:tc>
          <w:tcPr>
            <w:tcW w:w="1085" w:type="pct"/>
            <w:shd w:val="clear" w:color="auto" w:fill="00CCFF"/>
          </w:tcPr>
          <w:p w14:paraId="140C10DF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  <w:r w:rsidRPr="00D179CB">
              <w:rPr>
                <w:rFonts w:ascii="Verdana" w:hAnsi="Verdana"/>
                <w:color w:val="000000" w:themeColor="text1"/>
              </w:rPr>
              <w:t>Date disposed of</w:t>
            </w:r>
          </w:p>
        </w:tc>
        <w:tc>
          <w:tcPr>
            <w:tcW w:w="839" w:type="pct"/>
            <w:shd w:val="clear" w:color="auto" w:fill="00CCFF"/>
          </w:tcPr>
          <w:p w14:paraId="2DEFF17C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  <w:r w:rsidRPr="00D179CB">
              <w:rPr>
                <w:rFonts w:ascii="Verdana" w:hAnsi="Verdana"/>
                <w:color w:val="000000" w:themeColor="text1"/>
              </w:rPr>
              <w:t>Comments</w:t>
            </w:r>
          </w:p>
        </w:tc>
      </w:tr>
      <w:tr w:rsidR="00F27A63" w:rsidRPr="00D179CB" w14:paraId="27301554" w14:textId="77777777" w:rsidTr="00602293">
        <w:tc>
          <w:tcPr>
            <w:tcW w:w="918" w:type="pct"/>
          </w:tcPr>
          <w:p w14:paraId="258CA1A6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35" w:type="pct"/>
          </w:tcPr>
          <w:p w14:paraId="1F221428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23" w:type="pct"/>
          </w:tcPr>
          <w:p w14:paraId="796BF481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085" w:type="pct"/>
          </w:tcPr>
          <w:p w14:paraId="3D8FFEFC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9" w:type="pct"/>
          </w:tcPr>
          <w:p w14:paraId="5835E8C8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F27A63" w:rsidRPr="00D179CB" w14:paraId="607003FD" w14:textId="77777777" w:rsidTr="00602293">
        <w:tc>
          <w:tcPr>
            <w:tcW w:w="918" w:type="pct"/>
          </w:tcPr>
          <w:p w14:paraId="7AAEF4BB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35" w:type="pct"/>
          </w:tcPr>
          <w:p w14:paraId="24EF9323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23" w:type="pct"/>
          </w:tcPr>
          <w:p w14:paraId="15EC5A18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085" w:type="pct"/>
          </w:tcPr>
          <w:p w14:paraId="2748FCEC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9" w:type="pct"/>
          </w:tcPr>
          <w:p w14:paraId="361BB809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F27A63" w:rsidRPr="00D179CB" w14:paraId="08A38F4F" w14:textId="77777777" w:rsidTr="00602293">
        <w:tc>
          <w:tcPr>
            <w:tcW w:w="918" w:type="pct"/>
          </w:tcPr>
          <w:p w14:paraId="4455EF21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935" w:type="pct"/>
          </w:tcPr>
          <w:p w14:paraId="2FC3A63F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223" w:type="pct"/>
          </w:tcPr>
          <w:p w14:paraId="7FCD8FE1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085" w:type="pct"/>
          </w:tcPr>
          <w:p w14:paraId="0C15B882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39" w:type="pct"/>
          </w:tcPr>
          <w:p w14:paraId="3853F9D1" w14:textId="77777777" w:rsidR="00F27A63" w:rsidRPr="00D179CB" w:rsidRDefault="00F27A63" w:rsidP="00602293">
            <w:pPr>
              <w:spacing w:line="300" w:lineRule="auto"/>
              <w:rPr>
                <w:rFonts w:ascii="Verdana" w:hAnsi="Verdana"/>
                <w:color w:val="000000" w:themeColor="text1"/>
              </w:rPr>
            </w:pPr>
          </w:p>
        </w:tc>
      </w:tr>
    </w:tbl>
    <w:p w14:paraId="05BD8F03" w14:textId="77777777" w:rsidR="00F27A63" w:rsidRDefault="00F27A63" w:rsidP="00F27A63">
      <w:pPr>
        <w:spacing w:after="0" w:line="300" w:lineRule="auto"/>
        <w:jc w:val="both"/>
        <w:rPr>
          <w:rFonts w:ascii="Verdana" w:hAnsi="Verdana"/>
          <w:b/>
          <w:color w:val="000000" w:themeColor="text1"/>
        </w:rPr>
      </w:pPr>
    </w:p>
    <w:p w14:paraId="54241A3D" w14:textId="77777777" w:rsidR="00F27A63" w:rsidRPr="00D179CB" w:rsidRDefault="00F27A63" w:rsidP="00F27A63">
      <w:pPr>
        <w:spacing w:after="0" w:line="300" w:lineRule="auto"/>
        <w:jc w:val="both"/>
        <w:rPr>
          <w:rFonts w:ascii="Verdana" w:hAnsi="Verdana"/>
          <w:b/>
          <w:color w:val="000000" w:themeColor="text1"/>
        </w:rPr>
      </w:pPr>
      <w:r w:rsidRPr="00D179CB">
        <w:rPr>
          <w:rFonts w:ascii="Verdana" w:hAnsi="Verdana"/>
          <w:b/>
          <w:color w:val="000000" w:themeColor="text1"/>
        </w:rPr>
        <w:t>Record keeping</w:t>
      </w:r>
    </w:p>
    <w:p w14:paraId="080F8030" w14:textId="77777777" w:rsidR="00F27A63" w:rsidRPr="00D179CB" w:rsidRDefault="00F27A63" w:rsidP="00F27A63">
      <w:pPr>
        <w:pStyle w:val="ListParagraph"/>
        <w:numPr>
          <w:ilvl w:val="0"/>
          <w:numId w:val="12"/>
        </w:numPr>
        <w:spacing w:after="0" w:line="300" w:lineRule="auto"/>
        <w:contextualSpacing w:val="0"/>
        <w:rPr>
          <w:rFonts w:ascii="Verdana" w:hAnsi="Verdana"/>
          <w:color w:val="000000" w:themeColor="text1"/>
        </w:rPr>
      </w:pPr>
      <w:r w:rsidRPr="00D179CB">
        <w:rPr>
          <w:rFonts w:ascii="Verdana" w:hAnsi="Verdana"/>
          <w:color w:val="000000" w:themeColor="text1"/>
        </w:rPr>
        <w:t>All financial records are retained for six years</w:t>
      </w:r>
    </w:p>
    <w:p w14:paraId="55B565BD" w14:textId="77777777" w:rsidR="00F27A63" w:rsidRPr="00D179CB" w:rsidRDefault="00F27A63" w:rsidP="00F27A63">
      <w:pPr>
        <w:spacing w:after="0" w:line="300" w:lineRule="auto"/>
        <w:rPr>
          <w:rFonts w:ascii="Verdana" w:hAnsi="Verdana"/>
          <w:color w:val="000000" w:themeColor="text1"/>
        </w:rPr>
      </w:pPr>
    </w:p>
    <w:p w14:paraId="2B0CD542" w14:textId="77777777" w:rsidR="00F27A63" w:rsidRPr="005D3F6F" w:rsidRDefault="00F27A63" w:rsidP="00F27A63">
      <w:pPr>
        <w:spacing w:after="0" w:line="300" w:lineRule="auto"/>
        <w:rPr>
          <w:rFonts w:ascii="Verdana" w:eastAsia="Times New Roman" w:hAnsi="Verdana" w:cs="Times New Roman"/>
          <w:b/>
          <w:color w:val="000000" w:themeColor="text1"/>
          <w:lang w:eastAsia="en-IE"/>
        </w:rPr>
      </w:pPr>
      <w:r w:rsidRPr="005D3F6F">
        <w:rPr>
          <w:rFonts w:ascii="Verdana" w:eastAsia="Times New Roman" w:hAnsi="Verdana" w:cs="Times New Roman"/>
          <w:b/>
          <w:color w:val="000000" w:themeColor="text1"/>
          <w:lang w:eastAsia="en-IE"/>
        </w:rPr>
        <w:t>Review</w:t>
      </w:r>
    </w:p>
    <w:p w14:paraId="265E1766" w14:textId="0A1575B3" w:rsidR="00F27A63" w:rsidRDefault="00F27A63" w:rsidP="00F27A63">
      <w:pPr>
        <w:pStyle w:val="ListParagraph"/>
        <w:numPr>
          <w:ilvl w:val="0"/>
          <w:numId w:val="12"/>
        </w:num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  <w:r>
        <w:rPr>
          <w:rFonts w:ascii="Verdana" w:eastAsia="Times New Roman" w:hAnsi="Verdana" w:cs="Times New Roman"/>
          <w:color w:val="000000" w:themeColor="text1"/>
          <w:lang w:eastAsia="en-IE"/>
        </w:rPr>
        <w:t>This policy will be reviewed every three years or sooner if cir</w:t>
      </w:r>
      <w:r w:rsidR="00EF555D">
        <w:rPr>
          <w:rFonts w:ascii="Verdana" w:eastAsia="Times New Roman" w:hAnsi="Verdana" w:cs="Times New Roman"/>
          <w:color w:val="000000" w:themeColor="text1"/>
          <w:lang w:eastAsia="en-IE"/>
        </w:rPr>
        <w:t>c</w:t>
      </w:r>
      <w:r>
        <w:rPr>
          <w:rFonts w:ascii="Verdana" w:eastAsia="Times New Roman" w:hAnsi="Verdana" w:cs="Times New Roman"/>
          <w:color w:val="000000" w:themeColor="text1"/>
          <w:lang w:eastAsia="en-IE"/>
        </w:rPr>
        <w:t>umstances change</w:t>
      </w:r>
    </w:p>
    <w:p w14:paraId="02B47668" w14:textId="77777777" w:rsidR="00F27A63" w:rsidRPr="005D3F6F" w:rsidRDefault="00F27A63" w:rsidP="00F27A63">
      <w:p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</w:p>
    <w:p w14:paraId="602F18CB" w14:textId="77777777" w:rsidR="00F27A63" w:rsidRPr="00D179CB" w:rsidRDefault="00F27A63" w:rsidP="00F27A63">
      <w:pPr>
        <w:spacing w:after="0" w:line="300" w:lineRule="auto"/>
        <w:rPr>
          <w:rFonts w:ascii="Verdana" w:eastAsia="Times New Roman" w:hAnsi="Verdana" w:cs="Times New Roman"/>
          <w:color w:val="000000" w:themeColor="text1"/>
          <w:lang w:eastAsia="en-IE"/>
        </w:rPr>
      </w:pPr>
    </w:p>
    <w:p w14:paraId="09D7199D" w14:textId="77777777" w:rsidR="00F27A63" w:rsidRPr="00D179CB" w:rsidRDefault="00F27A63" w:rsidP="00F27A63">
      <w:pPr>
        <w:autoSpaceDE w:val="0"/>
        <w:autoSpaceDN w:val="0"/>
        <w:adjustRightInd w:val="0"/>
        <w:spacing w:after="0" w:line="300" w:lineRule="auto"/>
        <w:rPr>
          <w:rFonts w:ascii="Verdana" w:hAnsi="Verdana" w:cs="TimesNewRomanPS-BoldMT"/>
          <w:lang w:val="en-CA"/>
        </w:rPr>
      </w:pPr>
      <w:r w:rsidRPr="00D179CB">
        <w:rPr>
          <w:rFonts w:ascii="Verdana" w:hAnsi="Verdana" w:cs="TimesNewRomanPS-BoldMT"/>
          <w:lang w:val="en-CA"/>
        </w:rPr>
        <w:t>Signed:</w:t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  <w:t xml:space="preserve">Signed: </w:t>
      </w:r>
    </w:p>
    <w:p w14:paraId="1BFE5BCD" w14:textId="77777777" w:rsidR="00F27A63" w:rsidRPr="00D179CB" w:rsidRDefault="00F27A63" w:rsidP="00F27A63">
      <w:pPr>
        <w:autoSpaceDE w:val="0"/>
        <w:autoSpaceDN w:val="0"/>
        <w:adjustRightInd w:val="0"/>
        <w:spacing w:after="0" w:line="300" w:lineRule="auto"/>
        <w:rPr>
          <w:rFonts w:ascii="Verdana" w:hAnsi="Verdana" w:cs="TimesNewRomanPS-BoldMT"/>
          <w:lang w:val="en-CA"/>
        </w:rPr>
      </w:pPr>
    </w:p>
    <w:p w14:paraId="0814910E" w14:textId="77777777" w:rsidR="00F27A63" w:rsidRPr="00D179CB" w:rsidRDefault="00F27A63" w:rsidP="00F27A63">
      <w:pPr>
        <w:autoSpaceDE w:val="0"/>
        <w:autoSpaceDN w:val="0"/>
        <w:adjustRightInd w:val="0"/>
        <w:spacing w:after="0" w:line="300" w:lineRule="auto"/>
        <w:rPr>
          <w:rFonts w:ascii="Verdana" w:hAnsi="Verdana" w:cs="TimesNewRomanPS-BoldMT"/>
          <w:lang w:val="en-CA"/>
        </w:rPr>
      </w:pPr>
      <w:r w:rsidRPr="00D179CB">
        <w:rPr>
          <w:rFonts w:ascii="Verdana" w:hAnsi="Verdana" w:cs="TimesNewRomanPS-BoldMT"/>
          <w:lang w:val="en-CA"/>
        </w:rPr>
        <w:t>Chair</w:t>
      </w:r>
      <w:r>
        <w:rPr>
          <w:rFonts w:ascii="Verdana" w:hAnsi="Verdana" w:cs="TimesNewRomanPS-BoldMT"/>
          <w:lang w:val="en-CA"/>
        </w:rPr>
        <w:t>person</w:t>
      </w:r>
      <w:r>
        <w:rPr>
          <w:rFonts w:ascii="Verdana" w:hAnsi="Verdana" w:cs="TimesNewRomanPS-BoldMT"/>
          <w:lang w:val="en-CA"/>
        </w:rPr>
        <w:tab/>
      </w:r>
      <w:r>
        <w:rPr>
          <w:rFonts w:ascii="Verdana" w:hAnsi="Verdana" w:cs="TimesNewRomanPS-BoldMT"/>
          <w:lang w:val="en-CA"/>
        </w:rPr>
        <w:tab/>
      </w:r>
      <w:r>
        <w:rPr>
          <w:rFonts w:ascii="Verdana" w:hAnsi="Verdana" w:cs="TimesNewRomanPS-BoldMT"/>
          <w:lang w:val="en-CA"/>
        </w:rPr>
        <w:tab/>
      </w:r>
      <w:r>
        <w:rPr>
          <w:rFonts w:ascii="Verdana" w:hAnsi="Verdana" w:cs="TimesNewRomanPS-BoldMT"/>
          <w:lang w:val="en-CA"/>
        </w:rPr>
        <w:tab/>
      </w:r>
      <w:r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  <w:t>Treasurer</w:t>
      </w:r>
    </w:p>
    <w:p w14:paraId="180D87CD" w14:textId="77777777" w:rsidR="00F27A63" w:rsidRPr="00D179CB" w:rsidRDefault="00F27A63" w:rsidP="00F27A63">
      <w:pPr>
        <w:autoSpaceDE w:val="0"/>
        <w:autoSpaceDN w:val="0"/>
        <w:adjustRightInd w:val="0"/>
        <w:spacing w:after="0" w:line="300" w:lineRule="auto"/>
        <w:rPr>
          <w:rFonts w:ascii="Verdana" w:hAnsi="Verdana" w:cs="TimesNewRomanPS-BoldMT"/>
          <w:lang w:val="en-CA"/>
        </w:rPr>
      </w:pPr>
    </w:p>
    <w:p w14:paraId="5A1F8269" w14:textId="77777777" w:rsidR="00F27A63" w:rsidRPr="00D179CB" w:rsidRDefault="00F27A63" w:rsidP="00F27A63">
      <w:pPr>
        <w:autoSpaceDE w:val="0"/>
        <w:autoSpaceDN w:val="0"/>
        <w:adjustRightInd w:val="0"/>
        <w:spacing w:after="0" w:line="300" w:lineRule="auto"/>
        <w:rPr>
          <w:rFonts w:ascii="Verdana" w:hAnsi="Verdana" w:cs="TimesNewRomanPS-BoldMT"/>
          <w:lang w:val="en-CA"/>
        </w:rPr>
      </w:pPr>
      <w:r w:rsidRPr="00D179CB">
        <w:rPr>
          <w:rFonts w:ascii="Verdana" w:hAnsi="Verdana" w:cs="TimesNewRomanPS-BoldMT"/>
          <w:lang w:val="en-CA"/>
        </w:rPr>
        <w:t>Date:</w:t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  <w:t>Date:</w:t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  <w:r w:rsidRPr="00D179CB">
        <w:rPr>
          <w:rFonts w:ascii="Verdana" w:hAnsi="Verdana" w:cs="TimesNewRomanPS-BoldMT"/>
          <w:lang w:val="en-CA"/>
        </w:rPr>
        <w:tab/>
      </w:r>
    </w:p>
    <w:p w14:paraId="05DAE62B" w14:textId="77777777" w:rsidR="00F27A63" w:rsidRPr="00D179CB" w:rsidRDefault="00F27A63" w:rsidP="00F27A63">
      <w:pPr>
        <w:autoSpaceDE w:val="0"/>
        <w:autoSpaceDN w:val="0"/>
        <w:adjustRightInd w:val="0"/>
        <w:spacing w:after="0" w:line="300" w:lineRule="auto"/>
        <w:rPr>
          <w:rFonts w:ascii="Verdana" w:hAnsi="Verdana" w:cs="TimesNewRomanPS-BoldMT"/>
          <w:lang w:val="en-CA"/>
        </w:rPr>
      </w:pPr>
    </w:p>
    <w:p w14:paraId="39BCA1F0" w14:textId="77777777" w:rsidR="007759B6" w:rsidRDefault="004C26A0"/>
    <w:sectPr w:rsidR="00775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B41"/>
    <w:multiLevelType w:val="hybridMultilevel"/>
    <w:tmpl w:val="CA32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5834"/>
    <w:multiLevelType w:val="hybridMultilevel"/>
    <w:tmpl w:val="FB18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2349"/>
    <w:multiLevelType w:val="hybridMultilevel"/>
    <w:tmpl w:val="0D9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1BE1"/>
    <w:multiLevelType w:val="hybridMultilevel"/>
    <w:tmpl w:val="9B8A7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8D7"/>
    <w:multiLevelType w:val="hybridMultilevel"/>
    <w:tmpl w:val="9416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F3A"/>
    <w:multiLevelType w:val="hybridMultilevel"/>
    <w:tmpl w:val="1D4E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61465"/>
    <w:multiLevelType w:val="hybridMultilevel"/>
    <w:tmpl w:val="2528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61131"/>
    <w:multiLevelType w:val="hybridMultilevel"/>
    <w:tmpl w:val="56D6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15B97"/>
    <w:multiLevelType w:val="hybridMultilevel"/>
    <w:tmpl w:val="E0F831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E26F1"/>
    <w:multiLevelType w:val="hybridMultilevel"/>
    <w:tmpl w:val="3DCAFB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40314"/>
    <w:multiLevelType w:val="hybridMultilevel"/>
    <w:tmpl w:val="8D62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66A4B"/>
    <w:multiLevelType w:val="hybridMultilevel"/>
    <w:tmpl w:val="030AF0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63"/>
    <w:rsid w:val="00022DFB"/>
    <w:rsid w:val="00055A2E"/>
    <w:rsid w:val="000E0795"/>
    <w:rsid w:val="002E18F3"/>
    <w:rsid w:val="004171E8"/>
    <w:rsid w:val="004C26A0"/>
    <w:rsid w:val="00623069"/>
    <w:rsid w:val="0077251A"/>
    <w:rsid w:val="00A60BCD"/>
    <w:rsid w:val="00B47DD2"/>
    <w:rsid w:val="00BB1793"/>
    <w:rsid w:val="00CE7120"/>
    <w:rsid w:val="00E312E0"/>
    <w:rsid w:val="00EF555D"/>
    <w:rsid w:val="00F2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E78A"/>
  <w15:chartTrackingRefBased/>
  <w15:docId w15:val="{22CD6E2B-077A-453A-8401-0B8FEAAC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63"/>
  </w:style>
  <w:style w:type="paragraph" w:styleId="Heading1">
    <w:name w:val="heading 1"/>
    <w:basedOn w:val="Normal"/>
    <w:next w:val="Normal"/>
    <w:link w:val="Heading1Char"/>
    <w:uiPriority w:val="9"/>
    <w:qFormat/>
    <w:rsid w:val="00F27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7A63"/>
    <w:pPr>
      <w:ind w:left="720"/>
      <w:contextualSpacing/>
    </w:pPr>
  </w:style>
  <w:style w:type="table" w:styleId="TableGrid">
    <w:name w:val="Table Grid"/>
    <w:basedOn w:val="TableNormal"/>
    <w:uiPriority w:val="39"/>
    <w:rsid w:val="00F2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Finlay</dc:creator>
  <cp:keywords/>
  <dc:description/>
  <cp:lastModifiedBy>Mary McKeon</cp:lastModifiedBy>
  <cp:revision>4</cp:revision>
  <dcterms:created xsi:type="dcterms:W3CDTF">2022-02-22T15:16:00Z</dcterms:created>
  <dcterms:modified xsi:type="dcterms:W3CDTF">2025-06-20T10:33:00Z</dcterms:modified>
</cp:coreProperties>
</file>